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74" w:rsidRPr="003C06A8" w:rsidRDefault="00631574" w:rsidP="003B14A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Cs w:val="21"/>
        </w:rPr>
      </w:pPr>
      <w:r w:rsidRPr="003C06A8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Cs w:val="21"/>
        </w:rPr>
        <w:t>４</w:t>
      </w:r>
      <w:r w:rsidR="00E4062B" w:rsidRPr="003C06A8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Cs w:val="21"/>
        </w:rPr>
        <w:t xml:space="preserve">　</w:t>
      </w:r>
      <w:r w:rsidRPr="003C06A8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Cs w:val="21"/>
        </w:rPr>
        <w:t>指導案例</w:t>
      </w:r>
    </w:p>
    <w:p w:rsidR="008B5282" w:rsidRDefault="00631574" w:rsidP="00631574">
      <w:pPr>
        <w:overflowPunct w:val="0"/>
        <w:ind w:firstLineChars="200" w:firstLine="434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「相かきつぎをしよう」</w:t>
      </w:r>
      <w:r w:rsidR="00E4062B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（</w:t>
      </w:r>
      <w:r w:rsidR="00F061F3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本時</w:t>
      </w:r>
      <w:r w:rsidR="00BE710C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６</w:t>
      </w:r>
      <w:r w:rsidR="00E4062B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／１</w:t>
      </w:r>
      <w:r w:rsidR="00F36CCF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３</w:t>
      </w:r>
      <w:r w:rsidR="006F1618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）</w:t>
      </w:r>
    </w:p>
    <w:p w:rsidR="006F1618" w:rsidRDefault="00631574" w:rsidP="003B14A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(1)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本時の</w:t>
      </w:r>
      <w:r w:rsidR="006F1618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目標</w:t>
      </w:r>
    </w:p>
    <w:p w:rsidR="00631574" w:rsidRDefault="001070B4" w:rsidP="00631574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　・</w:t>
      </w:r>
      <w:r w:rsidR="0063157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製作の接合方法に関心をもち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，</w:t>
      </w:r>
      <w:r w:rsidR="0063157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相かきつぎを</w:t>
      </w:r>
      <w:r w:rsidR="00BE710C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取り入れた</w:t>
      </w:r>
      <w:r w:rsidR="0063157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作業を進めることができる。　</w:t>
      </w:r>
    </w:p>
    <w:p w:rsidR="00BE710C" w:rsidRDefault="00BE710C" w:rsidP="00BE710C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　</w:t>
      </w:r>
      <w:r w:rsidR="0063157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【</w:t>
      </w:r>
      <w:r w:rsidR="001070B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関心・意欲・態度</w:t>
      </w:r>
      <w:r w:rsidR="0063157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】</w:t>
      </w:r>
    </w:p>
    <w:p w:rsidR="006F1618" w:rsidRDefault="00BE710C" w:rsidP="00BE710C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　</w:t>
      </w:r>
      <w:r w:rsidR="001070B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・</w:t>
      </w:r>
      <w:r w:rsidR="006F1618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のみ</w:t>
      </w:r>
      <w:r w:rsidR="0063157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やのこぎり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を</w:t>
      </w:r>
      <w:r w:rsidR="0015548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安全</w:t>
      </w:r>
      <w:r w:rsidR="006F1618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に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用いて</w:t>
      </w:r>
      <w:r w:rsidR="0063157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相かきつぎを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取り入れた</w:t>
      </w:r>
      <w:r w:rsidR="006F1618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接合ができる。</w:t>
      </w:r>
      <w:r w:rsidR="00E55BA3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　　　</w:t>
      </w:r>
      <w:r w:rsidR="0063157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【</w:t>
      </w:r>
      <w:r w:rsidR="00585068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技能</w:t>
      </w:r>
      <w:r w:rsidR="00631574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】</w:t>
      </w:r>
    </w:p>
    <w:p w:rsidR="00F36CCF" w:rsidRDefault="001070B4" w:rsidP="003B14A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</w:t>
      </w:r>
      <w:r w:rsidR="00553B6D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(2)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 </w:t>
      </w:r>
      <w:r w:rsidR="00F36CCF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準備</w:t>
      </w:r>
    </w:p>
    <w:p w:rsidR="001E5C2F" w:rsidRDefault="001E5C2F" w:rsidP="003B14A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　・のみ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，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げんのう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，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さしがね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，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のこぎり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，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砥石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，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ワークシート</w:t>
      </w:r>
    </w:p>
    <w:p w:rsidR="00155486" w:rsidRDefault="001E5C2F" w:rsidP="003B14A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(3)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指導過程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97"/>
        <w:gridCol w:w="4623"/>
      </w:tblGrid>
      <w:tr w:rsidR="008B5282" w:rsidTr="00553B6D">
        <w:trPr>
          <w:trHeight w:val="547"/>
        </w:trPr>
        <w:tc>
          <w:tcPr>
            <w:tcW w:w="534" w:type="dxa"/>
          </w:tcPr>
          <w:p w:rsidR="008B5282" w:rsidRPr="00E55BA3" w:rsidRDefault="00476E5F" w:rsidP="00476E5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 w:rsidRPr="00E55BA3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Cs w:val="21"/>
              </w:rPr>
              <w:t>段階</w:t>
            </w:r>
          </w:p>
        </w:tc>
        <w:tc>
          <w:tcPr>
            <w:tcW w:w="4677" w:type="dxa"/>
          </w:tcPr>
          <w:p w:rsidR="008B5282" w:rsidRPr="00E55BA3" w:rsidRDefault="00BE710C" w:rsidP="00476E5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 w:rsidRPr="00BE710C">
              <w:rPr>
                <w:rFonts w:asciiTheme="minorEastAsia" w:hAnsiTheme="minorEastAsia" w:cs="Times New Roman"/>
                <w:noProof/>
                <w:color w:val="000000"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BD9C05" wp14:editId="0B174B5B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57150</wp:posOffset>
                      </wp:positionV>
                      <wp:extent cx="857250" cy="1403985"/>
                      <wp:effectExtent l="0" t="0" r="0" b="762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10C" w:rsidRDefault="00BE710C">
                                  <w:r>
                                    <w:rPr>
                                      <w:rFonts w:hint="eastAsia"/>
                                    </w:rPr>
                                    <w:t>学習活動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BD9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8pt;margin-top:4.5pt;width:67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4oaPgIAAC4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" stroked="f">
                      <v:textbox style="mso-fit-shape-to-text:t">
                        <w:txbxContent>
                          <w:p w:rsidR="00BE710C" w:rsidRDefault="00BE710C">
                            <w:r>
                              <w:rPr>
                                <w:rFonts w:hint="eastAsia"/>
                              </w:rPr>
                              <w:t>学習活動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5" w:type="dxa"/>
          </w:tcPr>
          <w:p w:rsidR="008B5282" w:rsidRPr="00E55BA3" w:rsidRDefault="00BE710C" w:rsidP="00BA3D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 w:rsidRPr="00BE710C">
              <w:rPr>
                <w:rFonts w:asciiTheme="minorEastAsia" w:hAnsiTheme="minorEastAsia" w:cs="Times New Roman"/>
                <w:noProof/>
                <w:color w:val="000000"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E32F64" wp14:editId="699DC00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57150</wp:posOffset>
                      </wp:positionV>
                      <wp:extent cx="2374265" cy="1403985"/>
                      <wp:effectExtent l="0" t="0" r="9525" b="762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10C" w:rsidRDefault="00BE710C"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pacing w:val="8"/>
                                      <w:kern w:val="0"/>
                                      <w:szCs w:val="21"/>
                                    </w:rPr>
                                    <w:t>教師の</w:t>
                                  </w:r>
                                  <w:r w:rsidRPr="00E55BA3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pacing w:val="8"/>
                                      <w:kern w:val="0"/>
                                      <w:szCs w:val="21"/>
                                    </w:rPr>
                                    <w:t>支援・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pacing w:val="8"/>
                                      <w:kern w:val="0"/>
                                      <w:szCs w:val="21"/>
                                    </w:rPr>
                                    <w:t>留意点　☆評価規準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E32F64" id="_x0000_s1027" type="#_x0000_t202" style="position:absolute;left:0;text-align:left;margin-left:21pt;margin-top:4.5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" stroked="f">
                      <v:textbox style="mso-fit-shape-to-text:t">
                        <w:txbxContent>
                          <w:p w:rsidR="00BE710C" w:rsidRDefault="00BE710C"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>教師の</w:t>
                            </w:r>
                            <w:r w:rsidRPr="00E55BA3">
                              <w:rPr>
                                <w:rFonts w:asciiTheme="minorEastAsia" w:hAnsiTheme="minorEastAsia" w:cs="Times New Roman" w:hint="eastAsia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>支援・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>留意点　☆評価規準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3B6D" w:rsidTr="001E5C2F">
        <w:trPr>
          <w:trHeight w:val="1160"/>
        </w:trPr>
        <w:tc>
          <w:tcPr>
            <w:tcW w:w="534" w:type="dxa"/>
          </w:tcPr>
          <w:p w:rsidR="00553B6D" w:rsidRPr="00E55BA3" w:rsidRDefault="00553B6D" w:rsidP="00553B6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Cs w:val="21"/>
              </w:rPr>
              <w:t>つかむ</w:t>
            </w:r>
          </w:p>
        </w:tc>
        <w:tc>
          <w:tcPr>
            <w:tcW w:w="4677" w:type="dxa"/>
          </w:tcPr>
          <w:p w:rsidR="00553B6D" w:rsidRPr="00E55BA3" w:rsidRDefault="00553B6D" w:rsidP="008B5282">
            <w:pPr>
              <w:overflowPunct w:val="0"/>
              <w:textAlignment w:val="baseline"/>
              <w:rPr>
                <w:rFonts w:asciiTheme="minorEastAsia" w:hAnsiTheme="minorEastAsia" w:cs="ＭＳ ゴシック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１</w:t>
            </w:r>
            <w:r w:rsidRPr="00E55BA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E55BA3">
              <w:rPr>
                <w:rFonts w:asciiTheme="minorEastAsia" w:hAnsiTheme="minorEastAsia" w:cs="ＭＳ ゴシック" w:hint="eastAsia"/>
                <w:bCs/>
                <w:color w:val="000000"/>
                <w:spacing w:val="-2"/>
                <w:kern w:val="0"/>
                <w:szCs w:val="21"/>
              </w:rPr>
              <w:t>前時で習った</w:t>
            </w:r>
            <w:r w:rsidR="00434C9C">
              <w:rPr>
                <w:rFonts w:asciiTheme="minorEastAsia" w:hAnsiTheme="minorEastAsia" w:cs="ＭＳ ゴシック" w:hint="eastAsia"/>
                <w:bCs/>
                <w:color w:val="000000"/>
                <w:spacing w:val="-2"/>
                <w:kern w:val="0"/>
                <w:szCs w:val="21"/>
              </w:rPr>
              <w:t>作業</w:t>
            </w:r>
            <w:r w:rsidR="00BA3D88">
              <w:rPr>
                <w:rFonts w:asciiTheme="minorEastAsia" w:hAnsiTheme="minorEastAsia" w:cs="ＭＳ ゴシック" w:hint="eastAsia"/>
                <w:bCs/>
                <w:color w:val="000000"/>
                <w:spacing w:val="-2"/>
                <w:kern w:val="0"/>
                <w:szCs w:val="21"/>
              </w:rPr>
              <w:t>をふり返る。</w:t>
            </w:r>
          </w:p>
          <w:tbl>
            <w:tblPr>
              <w:tblW w:w="447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71"/>
            </w:tblGrid>
            <w:tr w:rsidR="004E5028" w:rsidTr="00C56350">
              <w:trPr>
                <w:trHeight w:val="586"/>
              </w:trPr>
              <w:tc>
                <w:tcPr>
                  <w:tcW w:w="4471" w:type="dxa"/>
                </w:tcPr>
                <w:p w:rsidR="004E5028" w:rsidRDefault="004E5028" w:rsidP="004E5028">
                  <w:pPr>
                    <w:overflowPunct w:val="0"/>
                    <w:ind w:left="8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・さしがねを使</w:t>
                  </w:r>
                  <w:r w:rsidR="00BA3D88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ってけがきを行った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。</w:t>
                  </w:r>
                </w:p>
                <w:p w:rsidR="004E5028" w:rsidRDefault="004E5028" w:rsidP="004E5028">
                  <w:pPr>
                    <w:overflowPunct w:val="0"/>
                    <w:ind w:left="8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・</w:t>
                  </w:r>
                  <w:r w:rsidR="00BA3D88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のこぎりで板を切断した。</w:t>
                  </w:r>
                </w:p>
              </w:tc>
            </w:tr>
          </w:tbl>
          <w:p w:rsidR="00553B6D" w:rsidRPr="00E55BA3" w:rsidRDefault="00553B6D" w:rsidP="00BA3D8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625" w:type="dxa"/>
          </w:tcPr>
          <w:p w:rsidR="00553B6D" w:rsidRPr="00E55BA3" w:rsidRDefault="00553B6D" w:rsidP="006F161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・前回の作業を確認</w:t>
            </w:r>
            <w:r w:rsidR="00434C9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し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="00434C9C"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今日の目標を黒板に示</w:t>
            </w:r>
            <w:r w:rsidR="00434C9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す。</w:t>
            </w:r>
          </w:p>
          <w:p w:rsidR="00553B6D" w:rsidRPr="00E55BA3" w:rsidRDefault="00553B6D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・大事な語句や工具の名称が暗記できるように教科書や</w:t>
            </w:r>
            <w:r w:rsidR="00434C9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ワークシート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を用いる。</w:t>
            </w:r>
          </w:p>
        </w:tc>
      </w:tr>
      <w:tr w:rsidR="00553B6D" w:rsidTr="00BA3D88">
        <w:trPr>
          <w:trHeight w:val="2106"/>
        </w:trPr>
        <w:tc>
          <w:tcPr>
            <w:tcW w:w="534" w:type="dxa"/>
          </w:tcPr>
          <w:p w:rsidR="00BE710C" w:rsidRDefault="00BE710C" w:rsidP="00476E5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  <w:p w:rsidR="00BE710C" w:rsidRDefault="00BE710C" w:rsidP="00476E5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  <w:p w:rsidR="00553B6D" w:rsidRPr="00E55BA3" w:rsidRDefault="003B6C4C" w:rsidP="00BE710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Cs w:val="21"/>
              </w:rPr>
              <w:t>見通す</w:t>
            </w:r>
          </w:p>
        </w:tc>
        <w:tc>
          <w:tcPr>
            <w:tcW w:w="4677" w:type="dxa"/>
          </w:tcPr>
          <w:p w:rsidR="00553B6D" w:rsidRPr="00E55BA3" w:rsidRDefault="00553B6D" w:rsidP="008B528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接合方法について</w:t>
            </w:r>
            <w:r w:rsidR="00C5635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考える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。</w:t>
            </w:r>
          </w:p>
          <w:tbl>
            <w:tblPr>
              <w:tblW w:w="443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38"/>
            </w:tblGrid>
            <w:tr w:rsidR="00DF7C32" w:rsidTr="00DF7C32">
              <w:trPr>
                <w:trHeight w:val="1529"/>
              </w:trPr>
              <w:tc>
                <w:tcPr>
                  <w:tcW w:w="4438" w:type="dxa"/>
                </w:tcPr>
                <w:p w:rsidR="00DF7C32" w:rsidRPr="00E55BA3" w:rsidRDefault="00DF7C32" w:rsidP="00DF7C32">
                  <w:pPr>
                    <w:overflowPunct w:val="0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 w:rsidRPr="00E55BA3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・</w:t>
                  </w: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木なら</w:t>
                  </w:r>
                  <w:r w:rsidRPr="00E55BA3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くぎやねじを使っている。</w:t>
                  </w:r>
                </w:p>
                <w:p w:rsidR="00DF7C32" w:rsidRPr="00E55BA3" w:rsidRDefault="00DF7C32" w:rsidP="00DF7C32">
                  <w:pPr>
                    <w:overflowPunct w:val="0"/>
                    <w:textAlignment w:val="baseline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E55BA3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・接着剤を使</w:t>
                  </w: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うこともある</w:t>
                  </w:r>
                  <w:r w:rsidRPr="00E55BA3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よ。</w:t>
                  </w:r>
                </w:p>
                <w:p w:rsidR="00DF7C32" w:rsidRDefault="00DF7C32" w:rsidP="00DF7C32">
                  <w:pPr>
                    <w:overflowPunct w:val="0"/>
                    <w:textAlignment w:val="baseline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E55BA3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・セロテープも接合じゃないかな。</w:t>
                  </w:r>
                </w:p>
                <w:p w:rsidR="00DF7C32" w:rsidRPr="00DF7C32" w:rsidRDefault="00DF7C32" w:rsidP="00DF7C32">
                  <w:pPr>
                    <w:overflowPunct w:val="0"/>
                    <w:textAlignment w:val="baseline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・何も使わずに重ねるだけのときもあるよ。</w:t>
                  </w:r>
                </w:p>
              </w:tc>
            </w:tr>
          </w:tbl>
          <w:p w:rsidR="00553B6D" w:rsidRDefault="00553B6D" w:rsidP="00DF7C32">
            <w:pPr>
              <w:overflowPunct w:val="0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4625" w:type="dxa"/>
          </w:tcPr>
          <w:p w:rsidR="00553B6D" w:rsidRPr="00E55BA3" w:rsidRDefault="00553B6D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班</w:t>
            </w:r>
            <w:r w:rsidR="00DF7C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での話し合いは行うが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時間をかけず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友だちの発言からいろいろな接合の種類があることに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気付くように助言する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。</w:t>
            </w:r>
          </w:p>
          <w:p w:rsidR="00553B6D" w:rsidRDefault="00BA3D88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・丈夫な作品に仕上げるために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さまざま</w:t>
            </w: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な接合方法があることを考えさせる。</w:t>
            </w:r>
          </w:p>
          <w:p w:rsidR="00F36CCF" w:rsidRDefault="00F36CCF" w:rsidP="006F1618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☆</w:t>
            </w:r>
            <w:r w:rsidR="003D664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適切な接合方法を考えることができたか。</w:t>
            </w:r>
          </w:p>
          <w:p w:rsidR="003D6643" w:rsidRPr="003D6643" w:rsidRDefault="003D6643" w:rsidP="003D6643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（発言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ワークシート）【関】</w:t>
            </w:r>
          </w:p>
        </w:tc>
      </w:tr>
      <w:tr w:rsidR="003B6C4C" w:rsidTr="003B6C4C">
        <w:trPr>
          <w:trHeight w:val="3025"/>
        </w:trPr>
        <w:tc>
          <w:tcPr>
            <w:tcW w:w="534" w:type="dxa"/>
          </w:tcPr>
          <w:p w:rsidR="00BE710C" w:rsidRDefault="00BE710C" w:rsidP="00476E5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  <w:p w:rsidR="00BE710C" w:rsidRDefault="00BE710C" w:rsidP="00476E5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  <w:p w:rsidR="00BE710C" w:rsidRDefault="00BE710C" w:rsidP="00476E5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  <w:p w:rsidR="003B6C4C" w:rsidRPr="00E55BA3" w:rsidRDefault="003B6C4C" w:rsidP="00476E5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Cs w:val="21"/>
              </w:rPr>
              <w:t>確かめる</w:t>
            </w:r>
          </w:p>
        </w:tc>
        <w:tc>
          <w:tcPr>
            <w:tcW w:w="4677" w:type="dxa"/>
          </w:tcPr>
          <w:p w:rsidR="003B6C4C" w:rsidRPr="00E55BA3" w:rsidRDefault="003B6C4C" w:rsidP="008B528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C5635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ほぞ接合（相かきつぎ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  <w:r w:rsidR="00C5635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を行う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。</w:t>
            </w:r>
          </w:p>
          <w:p w:rsidR="003B6C4C" w:rsidRPr="00E55BA3" w:rsidRDefault="003B6C4C" w:rsidP="008B528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  <w:tbl>
            <w:tblPr>
              <w:tblpPr w:leftFromText="142" w:rightFromText="142" w:vertAnchor="text" w:horzAnchor="margin" w:tblpY="-54"/>
              <w:tblOverlap w:val="never"/>
              <w:tblW w:w="447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71"/>
            </w:tblGrid>
            <w:tr w:rsidR="00DF7C32" w:rsidTr="00DF7C32">
              <w:trPr>
                <w:trHeight w:val="586"/>
              </w:trPr>
              <w:tc>
                <w:tcPr>
                  <w:tcW w:w="4471" w:type="dxa"/>
                </w:tcPr>
                <w:p w:rsidR="00DF7C32" w:rsidRPr="00E55BA3" w:rsidRDefault="00DF7C32" w:rsidP="00DF7C32">
                  <w:pPr>
                    <w:overflowPunct w:val="0"/>
                    <w:ind w:left="8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 w:rsidRPr="00E55BA3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・けがきが難しいな。</w:t>
                  </w:r>
                </w:p>
                <w:p w:rsidR="00DF7C32" w:rsidRPr="00E55BA3" w:rsidRDefault="00DF7C32" w:rsidP="00DF7C32">
                  <w:pPr>
                    <w:overflowPunct w:val="0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 w:rsidRPr="00E55BA3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・どの部分をのみで打てばいいかな。</w:t>
                  </w:r>
                </w:p>
                <w:p w:rsidR="00DF7C32" w:rsidRPr="00E55BA3" w:rsidRDefault="00D7374A" w:rsidP="00D56306">
                  <w:pPr>
                    <w:overflowPunct w:val="0"/>
                    <w:ind w:left="217" w:hangingChars="100" w:hanging="217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・のこぎりで切る部分は少ないけど</w:t>
                  </w:r>
                  <w:r w:rsidR="003A2C66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，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慎重にまっすぐ切らなければならない。</w:t>
                  </w:r>
                </w:p>
                <w:p w:rsidR="00DF7C32" w:rsidRDefault="00D7374A" w:rsidP="00DF7C32">
                  <w:pPr>
                    <w:overflowPunct w:val="0"/>
                    <w:ind w:left="8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・刃の裏と表を間違えないようにしよう。</w:t>
                  </w:r>
                </w:p>
                <w:p w:rsidR="00D7374A" w:rsidRPr="00DF7C32" w:rsidRDefault="00D7374A" w:rsidP="00DF7C32">
                  <w:pPr>
                    <w:overflowPunct w:val="0"/>
                    <w:ind w:left="8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Cs w:val="21"/>
                    </w:rPr>
                    <w:t>・のみの力加減が難しいな。</w:t>
                  </w:r>
                </w:p>
              </w:tc>
            </w:tr>
          </w:tbl>
          <w:p w:rsidR="003B6C4C" w:rsidRDefault="003B6C4C" w:rsidP="008B528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625" w:type="dxa"/>
          </w:tcPr>
          <w:p w:rsidR="00D7374A" w:rsidRDefault="003B6C4C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D7374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前回の作業より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="00D7374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のこぎりの使い方は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簡潔に済ます。のみとげんのうの使い方について</w:t>
            </w:r>
            <w:r w:rsidR="00D7374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は時間をかけて使い方を示す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。</w:t>
            </w:r>
          </w:p>
          <w:p w:rsidR="003B6C4C" w:rsidRPr="00E55BA3" w:rsidRDefault="00D7374A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3B6C4C"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刃物を使用するので安全に留意して作業をするように伝える。</w:t>
            </w:r>
          </w:p>
          <w:p w:rsidR="003B6C4C" w:rsidRDefault="003B6C4C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・材料へのけがきが速やかにできるように黒板に作業図を示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す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。</w:t>
            </w:r>
          </w:p>
          <w:p w:rsidR="003B6C4C" w:rsidRDefault="00D7374A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・作業の合間にのみの刃先が研げるように準備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する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。</w:t>
            </w:r>
          </w:p>
          <w:p w:rsidR="00570D55" w:rsidRDefault="00570D55" w:rsidP="006F1618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☆正しい工具の使い方ができているか。</w:t>
            </w:r>
          </w:p>
          <w:p w:rsidR="00570D55" w:rsidRDefault="00570D55" w:rsidP="003A2C66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（作業の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様子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）【</w:t>
            </w:r>
            <w:bookmarkStart w:id="0" w:name="_GoBack"/>
            <w:bookmarkEnd w:id="0"/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技】</w:t>
            </w:r>
          </w:p>
        </w:tc>
      </w:tr>
      <w:tr w:rsidR="003B6C4C" w:rsidTr="003F79E1">
        <w:trPr>
          <w:trHeight w:val="2909"/>
        </w:trPr>
        <w:tc>
          <w:tcPr>
            <w:tcW w:w="534" w:type="dxa"/>
          </w:tcPr>
          <w:p w:rsidR="003B6C4C" w:rsidRPr="00E55BA3" w:rsidRDefault="003B6C4C" w:rsidP="00476E5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  <w:p w:rsidR="00BE710C" w:rsidRDefault="00BE710C" w:rsidP="003B6C4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  <w:p w:rsidR="00BE710C" w:rsidRDefault="00BE710C" w:rsidP="003B6C4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</w:p>
          <w:p w:rsidR="003B6C4C" w:rsidRPr="00E55BA3" w:rsidRDefault="003B6C4C" w:rsidP="00BE710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Cs w:val="21"/>
              </w:rPr>
              <w:t>生かす</w:t>
            </w:r>
          </w:p>
        </w:tc>
        <w:tc>
          <w:tcPr>
            <w:tcW w:w="4677" w:type="dxa"/>
          </w:tcPr>
          <w:p w:rsidR="003B6C4C" w:rsidRPr="00E55BA3" w:rsidRDefault="00DF7C32" w:rsidP="008B528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４</w:t>
            </w:r>
            <w:r w:rsidR="00D56306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 xml:space="preserve">　振り</w:t>
            </w:r>
            <w:r w:rsidR="003B6C4C" w:rsidRPr="00E55BA3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返りを行う。</w:t>
            </w:r>
          </w:p>
          <w:p w:rsidR="003B6C4C" w:rsidRDefault="003B6C4C" w:rsidP="00BA3D88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55BA3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BA65058" wp14:editId="7665140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110490</wp:posOffset>
                  </wp:positionV>
                  <wp:extent cx="2338705" cy="1387475"/>
                  <wp:effectExtent l="0" t="0" r="4445" b="3175"/>
                  <wp:wrapThrough wrapText="bothSides">
                    <wp:wrapPolygon edited="0">
                      <wp:start x="0" y="0"/>
                      <wp:lineTo x="0" y="21353"/>
                      <wp:lineTo x="21465" y="21353"/>
                      <wp:lineTo x="21465" y="0"/>
                      <wp:lineTo x="0" y="0"/>
                    </wp:wrapPolygon>
                  </wp:wrapThrough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205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04" t="26169" r="42558" b="32752"/>
                          <a:stretch/>
                        </pic:blipFill>
                        <pic:spPr bwMode="auto">
                          <a:xfrm>
                            <a:off x="0" y="0"/>
                            <a:ext cx="2338705" cy="1387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5" w:type="dxa"/>
          </w:tcPr>
          <w:p w:rsidR="003B6C4C" w:rsidRPr="00E55BA3" w:rsidRDefault="003B6C4C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・接合方法が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分からない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生徒には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仮組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立て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を行い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確認しながら作業を進めるように伝える。</w:t>
            </w:r>
          </w:p>
          <w:p w:rsidR="003B6C4C" w:rsidRPr="00E55BA3" w:rsidRDefault="003B6C4C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・作業に消極的な生徒には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失敗をしても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修正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可能なことを伝え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積極的に取り組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む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ように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助言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する。</w:t>
            </w:r>
          </w:p>
          <w:p w:rsidR="003B6C4C" w:rsidRPr="00E55BA3" w:rsidRDefault="003B6C4C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・授業の感想や</w:t>
            </w:r>
            <w:r w:rsidR="00D5630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分かった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ことなどを数人の生徒に発言させる。</w:t>
            </w:r>
          </w:p>
          <w:p w:rsidR="003B6C4C" w:rsidRPr="00E55BA3" w:rsidRDefault="003B6C4C" w:rsidP="00D56306">
            <w:pPr>
              <w:overflowPunct w:val="0"/>
              <w:ind w:left="201" w:hangingChars="100" w:hanging="201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Cs w:val="21"/>
              </w:rPr>
            </w:pP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・失敗した生徒がいれば</w:t>
            </w:r>
            <w:r w:rsidR="003A2C6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，</w:t>
            </w:r>
            <w:r w:rsidRPr="00E55B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次回以降に修正していくことを伝える。</w:t>
            </w:r>
          </w:p>
        </w:tc>
      </w:tr>
    </w:tbl>
    <w:p w:rsidR="00BA3D88" w:rsidRPr="00567A39" w:rsidRDefault="00D56306" w:rsidP="00D56306">
      <w:pPr>
        <w:ind w:firstLineChars="100" w:firstLine="217"/>
        <w:rPr>
          <w:rFonts w:asciiTheme="majorEastAsia" w:eastAsiaTheme="majorEastAsia" w:hAnsiTheme="majorEastAsia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(4)</w:t>
      </w:r>
      <w:r w:rsidR="003A2C6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 </w:t>
      </w:r>
      <w:r w:rsidR="00BA3D88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評価</w:t>
      </w:r>
    </w:p>
    <w:p w:rsidR="00BA3D88" w:rsidRDefault="00BA3D88" w:rsidP="00BA3D88">
      <w:pPr>
        <w:ind w:leftChars="100" w:left="402" w:hangingChars="100" w:hanging="201"/>
      </w:pPr>
      <w:r>
        <w:rPr>
          <w:rFonts w:hint="eastAsia"/>
        </w:rPr>
        <w:t>・班で協力し合い</w:t>
      </w:r>
      <w:r w:rsidR="003A2C66">
        <w:rPr>
          <w:rFonts w:hint="eastAsia"/>
        </w:rPr>
        <w:t>，</w:t>
      </w:r>
      <w:r w:rsidR="001A7819">
        <w:rPr>
          <w:rFonts w:hint="eastAsia"/>
        </w:rPr>
        <w:t>接合方法に関心をもち</w:t>
      </w:r>
      <w:r w:rsidR="003A2C66">
        <w:rPr>
          <w:rFonts w:hint="eastAsia"/>
        </w:rPr>
        <w:t>，</w:t>
      </w:r>
      <w:r w:rsidR="001A7819">
        <w:rPr>
          <w:rFonts w:hint="eastAsia"/>
        </w:rPr>
        <w:t>相かきつぎを取り入れた作業を進めようとしているか</w:t>
      </w:r>
      <w:r w:rsidR="003A2C66">
        <w:rPr>
          <w:rFonts w:hint="eastAsia"/>
        </w:rPr>
        <w:t>，</w:t>
      </w:r>
      <w:r>
        <w:rPr>
          <w:rFonts w:hint="eastAsia"/>
        </w:rPr>
        <w:t>授業の様子や振り返りワークシートから判断する。</w:t>
      </w:r>
    </w:p>
    <w:p w:rsidR="00BA3D88" w:rsidRPr="00AC3A6D" w:rsidRDefault="00BA3D88" w:rsidP="003F79E1">
      <w:pPr>
        <w:ind w:left="402" w:hangingChars="200" w:hanging="402"/>
      </w:pPr>
      <w:r>
        <w:rPr>
          <w:rFonts w:hint="eastAsia"/>
        </w:rPr>
        <w:t xml:space="preserve">　・のみ</w:t>
      </w:r>
      <w:r w:rsidR="001A7819">
        <w:rPr>
          <w:rFonts w:hint="eastAsia"/>
        </w:rPr>
        <w:t>やげんのう</w:t>
      </w:r>
      <w:r>
        <w:rPr>
          <w:rFonts w:hint="eastAsia"/>
        </w:rPr>
        <w:t>を使い</w:t>
      </w:r>
      <w:r w:rsidR="003A2C66">
        <w:rPr>
          <w:rFonts w:hint="eastAsia"/>
        </w:rPr>
        <w:t>，</w:t>
      </w:r>
      <w:r w:rsidR="001A7819">
        <w:rPr>
          <w:rFonts w:hint="eastAsia"/>
        </w:rPr>
        <w:t>安全に留意しながら</w:t>
      </w:r>
      <w:r>
        <w:rPr>
          <w:rFonts w:hint="eastAsia"/>
        </w:rPr>
        <w:t>相かきつぎができたか</w:t>
      </w:r>
      <w:r w:rsidR="003A2C66">
        <w:rPr>
          <w:rFonts w:hint="eastAsia"/>
        </w:rPr>
        <w:t>，</w:t>
      </w:r>
      <w:r>
        <w:rPr>
          <w:rFonts w:hint="eastAsia"/>
        </w:rPr>
        <w:t>授業の様子や練習材料の結果から判断する。</w:t>
      </w:r>
    </w:p>
    <w:sectPr w:rsidR="00BA3D88" w:rsidRPr="00AC3A6D" w:rsidSect="003F79E1">
      <w:head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70" w:rsidRDefault="004A1770" w:rsidP="00F36CCF">
      <w:r>
        <w:separator/>
      </w:r>
    </w:p>
  </w:endnote>
  <w:endnote w:type="continuationSeparator" w:id="0">
    <w:p w:rsidR="004A1770" w:rsidRDefault="004A1770" w:rsidP="00F3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70" w:rsidRDefault="004A1770" w:rsidP="00F36CCF">
      <w:r>
        <w:separator/>
      </w:r>
    </w:p>
  </w:footnote>
  <w:footnote w:type="continuationSeparator" w:id="0">
    <w:p w:rsidR="004A1770" w:rsidRDefault="004A1770" w:rsidP="00F3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0C" w:rsidRDefault="00BE710C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＜指導案＞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4"/>
    <w:rsid w:val="000610FB"/>
    <w:rsid w:val="00087FBE"/>
    <w:rsid w:val="000E1E1F"/>
    <w:rsid w:val="001070B4"/>
    <w:rsid w:val="00155486"/>
    <w:rsid w:val="001A7819"/>
    <w:rsid w:val="001B2748"/>
    <w:rsid w:val="001E5C2F"/>
    <w:rsid w:val="00205822"/>
    <w:rsid w:val="00241F03"/>
    <w:rsid w:val="002B2A02"/>
    <w:rsid w:val="002B47A1"/>
    <w:rsid w:val="002C6B8E"/>
    <w:rsid w:val="002E7199"/>
    <w:rsid w:val="00351151"/>
    <w:rsid w:val="00392B35"/>
    <w:rsid w:val="003A2C66"/>
    <w:rsid w:val="003B14A4"/>
    <w:rsid w:val="003B6C4C"/>
    <w:rsid w:val="003C06A8"/>
    <w:rsid w:val="003D6643"/>
    <w:rsid w:val="003E326E"/>
    <w:rsid w:val="003F79E1"/>
    <w:rsid w:val="00421E68"/>
    <w:rsid w:val="00434C9C"/>
    <w:rsid w:val="004561CD"/>
    <w:rsid w:val="00466F5A"/>
    <w:rsid w:val="00476E5F"/>
    <w:rsid w:val="004A1770"/>
    <w:rsid w:val="004E5028"/>
    <w:rsid w:val="00553B6D"/>
    <w:rsid w:val="00570D55"/>
    <w:rsid w:val="0057479B"/>
    <w:rsid w:val="00577FA1"/>
    <w:rsid w:val="00585068"/>
    <w:rsid w:val="005B15C8"/>
    <w:rsid w:val="00622430"/>
    <w:rsid w:val="00631574"/>
    <w:rsid w:val="00657D59"/>
    <w:rsid w:val="00693DC0"/>
    <w:rsid w:val="00694255"/>
    <w:rsid w:val="006D7A97"/>
    <w:rsid w:val="006F1618"/>
    <w:rsid w:val="007662D8"/>
    <w:rsid w:val="00794F2D"/>
    <w:rsid w:val="007959A0"/>
    <w:rsid w:val="00873767"/>
    <w:rsid w:val="008B5282"/>
    <w:rsid w:val="009060BB"/>
    <w:rsid w:val="009936C3"/>
    <w:rsid w:val="009B7E8B"/>
    <w:rsid w:val="009E3CC9"/>
    <w:rsid w:val="009E7056"/>
    <w:rsid w:val="00A64346"/>
    <w:rsid w:val="00A75219"/>
    <w:rsid w:val="00AD3325"/>
    <w:rsid w:val="00B021F7"/>
    <w:rsid w:val="00B7390F"/>
    <w:rsid w:val="00BA3D88"/>
    <w:rsid w:val="00BB1423"/>
    <w:rsid w:val="00BC341A"/>
    <w:rsid w:val="00BE710C"/>
    <w:rsid w:val="00BF3ADE"/>
    <w:rsid w:val="00C56350"/>
    <w:rsid w:val="00C80416"/>
    <w:rsid w:val="00C94B66"/>
    <w:rsid w:val="00CD5A27"/>
    <w:rsid w:val="00D51123"/>
    <w:rsid w:val="00D56306"/>
    <w:rsid w:val="00D7374A"/>
    <w:rsid w:val="00DA3261"/>
    <w:rsid w:val="00DC45C0"/>
    <w:rsid w:val="00DD5DB4"/>
    <w:rsid w:val="00DE15C3"/>
    <w:rsid w:val="00DF7C32"/>
    <w:rsid w:val="00E2756A"/>
    <w:rsid w:val="00E4062B"/>
    <w:rsid w:val="00E55BA3"/>
    <w:rsid w:val="00EE3220"/>
    <w:rsid w:val="00F061F3"/>
    <w:rsid w:val="00F20981"/>
    <w:rsid w:val="00F20DBE"/>
    <w:rsid w:val="00F36CCF"/>
    <w:rsid w:val="00F81549"/>
    <w:rsid w:val="00F843DA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F754E7-1839-4B18-9BC8-1C87242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47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6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6CCF"/>
  </w:style>
  <w:style w:type="paragraph" w:styleId="a8">
    <w:name w:val="footer"/>
    <w:basedOn w:val="a"/>
    <w:link w:val="a9"/>
    <w:uiPriority w:val="99"/>
    <w:unhideWhenUsed/>
    <w:rsid w:val="00F36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3642-E60F-4D93-A7D6-9BE75A37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豊川市教育委員会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山口将臣</dc:creator>
  <cp:lastModifiedBy>setup</cp:lastModifiedBy>
  <cp:revision>15</cp:revision>
  <cp:lastPrinted>2017-12-16T04:12:00Z</cp:lastPrinted>
  <dcterms:created xsi:type="dcterms:W3CDTF">2017-05-03T01:29:00Z</dcterms:created>
  <dcterms:modified xsi:type="dcterms:W3CDTF">2018-01-30T02:40:00Z</dcterms:modified>
</cp:coreProperties>
</file>